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医用气体（瓶装）采购项目(二次)</w:t>
      </w:r>
    </w:p>
    <w:p>
      <w:pPr>
        <w:pStyle w:val="null3"/>
        <w:jc w:val="center"/>
        <w:outlineLvl w:val="2"/>
      </w:pPr>
      <w:r>
        <w:rPr>
          <w:b/>
          <w:sz w:val="28"/>
        </w:rPr>
        <w:t>采购项目编号：</w:t>
      </w:r>
      <w:r>
        <w:rPr>
          <w:b/>
          <w:sz w:val="28"/>
        </w:rPr>
        <w:t>N5103012023000006</w:t>
      </w:r>
      <w:r>
        <w:br/>
      </w:r>
      <w:r>
        <w:br/>
      </w:r>
      <w:r>
        <w:br/>
      </w:r>
    </w:p>
    <w:p>
      <w:pPr>
        <w:pStyle w:val="null3"/>
        <w:jc w:val="center"/>
        <w:outlineLvl w:val="2"/>
      </w:pPr>
      <w:r>
        <w:rPr>
          <w:b/>
          <w:sz w:val="28"/>
        </w:rPr>
        <w:t>自贡市第一人民医院</w:t>
      </w:r>
    </w:p>
    <w:p>
      <w:pPr>
        <w:pStyle w:val="null3"/>
        <w:jc w:val="center"/>
        <w:outlineLvl w:val="2"/>
      </w:pPr>
      <w:r>
        <w:rPr>
          <w:b/>
          <w:sz w:val="28"/>
        </w:rPr>
        <w:t>安迅达工程咨询有限公司</w:t>
      </w:r>
      <w:r>
        <w:rPr>
          <w:b/>
          <w:sz w:val="28"/>
        </w:rPr>
        <w:t>共同编制</w:t>
      </w:r>
    </w:p>
    <w:p>
      <w:pPr>
        <w:pStyle w:val="null3"/>
        <w:jc w:val="center"/>
        <w:outlineLvl w:val="2"/>
      </w:pPr>
      <w:r>
        <w:rPr>
          <w:b/>
          <w:sz w:val="28"/>
        </w:rPr>
        <w:t>2023年04月17日</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pPr>
      <w:r>
        <w:rPr/>
        <w:t>安迅达工程咨询有限公司</w:t>
      </w:r>
      <w:r>
        <w:rPr/>
        <w:t>（以下简称“代理机构”）受</w:t>
      </w:r>
      <w:r>
        <w:rPr/>
        <w:t>自贡市第一人民医院</w:t>
      </w:r>
      <w:r>
        <w:rPr/>
        <w:t>委托，拟对</w:t>
      </w:r>
      <w:r>
        <w:rPr/>
        <w:t>医用气体（瓶装）采购项目(二次)</w:t>
      </w:r>
      <w:r>
        <w:rPr/>
        <w:t>进行国内公开招标，兹邀请符合本次招标要求的供应商参加投标。</w:t>
      </w:r>
    </w:p>
    <w:p>
      <w:pPr>
        <w:pStyle w:val="null3"/>
        <w:outlineLvl w:val="2"/>
      </w:pPr>
      <w:r>
        <w:rPr>
          <w:b/>
          <w:sz w:val="28"/>
        </w:rPr>
        <w:t>一、采购项目编号：</w:t>
      </w:r>
      <w:r>
        <w:rPr>
          <w:b/>
          <w:sz w:val="28"/>
        </w:rPr>
        <w:t>N5103012023000006</w:t>
      </w:r>
    </w:p>
    <w:p>
      <w:pPr>
        <w:pStyle w:val="null3"/>
        <w:outlineLvl w:val="2"/>
      </w:pPr>
      <w:r>
        <w:rPr>
          <w:b/>
          <w:sz w:val="28"/>
        </w:rPr>
        <w:t>二、采购项目名称：</w:t>
      </w:r>
      <w:r>
        <w:rPr>
          <w:b/>
          <w:sz w:val="28"/>
        </w:rPr>
        <w:t>医用气体（瓶装）采购项目(二次)</w:t>
      </w:r>
    </w:p>
    <w:p>
      <w:pPr>
        <w:pStyle w:val="null3"/>
        <w:outlineLvl w:val="2"/>
      </w:pPr>
      <w:r>
        <w:rPr>
          <w:b/>
          <w:sz w:val="28"/>
        </w:rPr>
        <w:t>三、招标项目简介</w:t>
      </w:r>
    </w:p>
    <w:p>
      <w:pPr>
        <w:pStyle w:val="null3"/>
        <w:ind w:firstLine="480"/>
      </w:pPr>
      <w:r>
        <w:rPr/>
        <w:t>自贡市第一人民医院因临床诊疗需要，为保障院内医用气体（瓶装）供应需求。现拟对自贡市第一人民医院医用气体（瓶装）采购项目进行公开招标采购。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投标人具有有效的《危险品道路运输经营许可证》，也可以提供第三方合作单位相应的运输资质以及有效的合同。（描述：投标人具有有效的《危险品道路运输经营许可证》，也可以提供第三方合作单位相应的运输资质以及有效的合同。（提供相关证明材料复印件加盖投标人鲜章））</w:t>
      </w:r>
    </w:p>
    <w:p>
      <w:pPr>
        <w:pStyle w:val="null3"/>
      </w:pPr>
      <w:r>
        <w:rPr/>
        <w:t>2、投标人具有有效的医用气体《药品生产许可证》；（描述：投标人具有有效的医用气体《药品生产许可证》；（提供相关证书复印件加盖投标人鲜章)）</w:t>
      </w:r>
    </w:p>
    <w:p>
      <w:pPr>
        <w:pStyle w:val="null3"/>
      </w:pPr>
      <w:r>
        <w:rPr/>
        <w:t>3、投标人提供有效的《气瓶充装许可证》；（描述：投标人提供有效的《气瓶充装许可证》；(提供有效的相关证书复印件加盖投标人鲜章)）</w:t>
      </w:r>
    </w:p>
    <w:p>
      <w:pPr>
        <w:pStyle w:val="null3"/>
      </w:pPr>
      <w:r>
        <w:rPr/>
        <w:t>4、如为代理商需提供有效的《危险化学品经营许可证》。（描述：如为代理商需提供有效的《危险化学品经营许可证》。(如为代理商需提供有效的相关证书复印件加盖投标人鲜章)）</w:t>
      </w:r>
    </w:p>
    <w:p>
      <w:pPr>
        <w:pStyle w:val="null3"/>
        <w:outlineLvl w:val="2"/>
      </w:pPr>
      <w:r>
        <w:rPr>
          <w:b/>
          <w:sz w:val="28"/>
        </w:rPr>
        <w:t>五、电子化采购相关事项</w:t>
      </w:r>
    </w:p>
    <w:p>
      <w:pPr>
        <w:pStyle w:val="null3"/>
        <w:ind w:firstLine="480"/>
      </w:pPr>
      <w:r>
        <w:rPr/>
        <w:t>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CA及签章服务电话：通过四川政府采购网-办事指南进行查询</w:t>
      </w:r>
    </w:p>
    <w:p>
      <w:pPr>
        <w:pStyle w:val="null3"/>
        <w:outlineLvl w:val="2"/>
      </w:pPr>
      <w:r>
        <w:rPr>
          <w:b/>
          <w:sz w:val="28"/>
        </w:rPr>
        <w:t>六、招标文件获取时间、方式及地址</w:t>
      </w:r>
    </w:p>
    <w:p>
      <w:pPr>
        <w:pStyle w:val="null3"/>
        <w:ind w:firstLine="480"/>
      </w:pPr>
      <w:r>
        <w:rPr/>
        <w:t>（一）招标文件获取时间：详见采购公告或邀请书</w:t>
      </w:r>
    </w:p>
    <w:p>
      <w:pPr>
        <w:pStyle w:val="null3"/>
        <w:ind w:firstLine="480"/>
      </w:pPr>
      <w:r>
        <w:rPr/>
        <w:t>（二）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成功获取招标文件后，采购人或代理机构进行澄清或者修改的，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（一）投标文件提交截止时间及开标时间：详见采购公告或邀请书</w:t>
      </w:r>
    </w:p>
    <w:p>
      <w:pPr>
        <w:pStyle w:val="null3"/>
        <w:ind w:firstLine="480"/>
      </w:pPr>
      <w:r>
        <w:rPr/>
        <w:t>（二）投标文件提交方式、地点：供应商应当在投标文件提交截止时间前，通过项目电子化交易系统提交投标文件。成功提交的，供应商将收到已提交投标文件的回执函。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八、本投标邀请在四川政府采购网以公告形式发布</w:t>
      </w:r>
    </w:p>
    <w:p>
      <w:pPr>
        <w:pStyle w:val="null3"/>
        <w:outlineLvl w:val="2"/>
      </w:pPr>
      <w:r>
        <w:rPr>
          <w:b/>
          <w:sz w:val="28"/>
        </w:rPr>
        <w:t>九、供应商信用融资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十、联系方式</w:t>
      </w:r>
    </w:p>
    <w:p>
      <w:pPr>
        <w:pStyle w:val="null3"/>
        <w:outlineLvl w:val="2"/>
      </w:pPr>
      <w:r>
        <w:rPr>
          <w:b/>
          <w:sz w:val="28"/>
        </w:rPr>
        <w:t>采购人：</w:t>
      </w:r>
      <w:r>
        <w:rPr>
          <w:b/>
          <w:sz w:val="28"/>
        </w:rPr>
        <w:t>自贡市第一人民医院</w:t>
      </w:r>
    </w:p>
    <w:p>
      <w:pPr>
        <w:pStyle w:val="null3"/>
      </w:pPr>
    </w:p>
    <w:p>
      <w:pPr>
        <w:pStyle w:val="null3"/>
      </w:pPr>
    </w:p>
    <w:p>
      <w:pPr>
        <w:pStyle w:val="null3"/>
      </w:pPr>
      <w:r>
        <w:rPr/>
        <w:t>地址：</w:t>
      </w:r>
      <w:r>
        <w:rPr/>
        <w:t>自流井区尚义灏一支路42号</w:t>
      </w:r>
    </w:p>
    <w:p>
      <w:pPr>
        <w:pStyle w:val="null3"/>
      </w:pPr>
      <w:r>
        <w:rPr/>
        <w:t>邮编：</w:t>
      </w:r>
      <w:r>
        <w:rPr/>
        <w:t>643000</w:t>
      </w:r>
    </w:p>
    <w:p>
      <w:pPr>
        <w:pStyle w:val="null3"/>
      </w:pPr>
      <w:r>
        <w:rPr/>
        <w:t>联系人：</w:t>
      </w:r>
      <w:r>
        <w:rPr/>
        <w:t>吴老师</w:t>
      </w:r>
    </w:p>
    <w:p>
      <w:pPr>
        <w:pStyle w:val="null3"/>
      </w:pPr>
      <w:r>
        <w:rPr/>
        <w:t>联系电话：</w:t>
      </w:r>
      <w:r>
        <w:rPr/>
        <w:t>0813-2102602</w:t>
      </w:r>
    </w:p>
    <w:p>
      <w:pPr>
        <w:pStyle w:val="null3"/>
        <w:outlineLvl w:val="2"/>
      </w:pPr>
      <w:r>
        <w:rPr>
          <w:b/>
          <w:sz w:val="28"/>
        </w:rPr>
        <w:t>代理机构：</w:t>
      </w:r>
      <w:r>
        <w:rPr>
          <w:b/>
          <w:sz w:val="28"/>
        </w:rPr>
        <w:t>安迅达工程咨询有限公司</w:t>
      </w:r>
    </w:p>
    <w:p>
      <w:pPr>
        <w:pStyle w:val="null3"/>
      </w:pPr>
    </w:p>
    <w:p>
      <w:pPr>
        <w:pStyle w:val="null3"/>
      </w:pPr>
    </w:p>
    <w:p>
      <w:pPr>
        <w:pStyle w:val="null3"/>
      </w:pPr>
      <w:r>
        <w:rPr/>
        <w:t>地址：</w:t>
      </w:r>
      <w:r>
        <w:rPr/>
        <w:t>四川省自贡市自流井区西苑街65号</w:t>
      </w:r>
    </w:p>
    <w:p>
      <w:pPr>
        <w:pStyle w:val="null3"/>
      </w:pPr>
      <w:r>
        <w:rPr/>
        <w:t>邮编：</w:t>
      </w:r>
      <w:r>
        <w:rPr/>
        <w:t>643000</w:t>
      </w:r>
    </w:p>
    <w:p>
      <w:pPr>
        <w:pStyle w:val="null3"/>
      </w:pPr>
      <w:r>
        <w:rPr/>
        <w:t>联系人：</w:t>
      </w:r>
      <w:r>
        <w:rPr/>
        <w:t>吴女士</w:t>
      </w:r>
    </w:p>
    <w:p>
      <w:pPr>
        <w:pStyle w:val="null3"/>
      </w:pPr>
      <w:r>
        <w:rPr/>
        <w:t>联系电话：</w:t>
      </w:r>
      <w:r>
        <w:rPr/>
        <w:t>0813-6682888</w:t>
      </w:r>
    </w:p>
    <w:p>
      <w:pPr>
        <w:pStyle w:val="null3"/>
        <w:outlineLvl w:val="2"/>
      </w:pPr>
      <w:r>
        <w:rPr>
          <w:b/>
          <w:sz w:val="28"/>
        </w:rPr>
        <w:t>采购监督机构：</w:t>
      </w:r>
      <w:r>
        <w:rPr>
          <w:b/>
          <w:sz w:val="28"/>
        </w:rPr>
        <w:t>自贡市财政局</w:t>
      </w:r>
    </w:p>
    <w:p>
      <w:pPr>
        <w:pStyle w:val="null3"/>
        <w:ind w:firstLine="480"/>
      </w:pPr>
      <w:r>
        <w:rPr/>
        <w:t>联系人：</w:t>
      </w:r>
      <w:r>
        <w:rPr/>
        <w:t>吴女士</w:t>
      </w:r>
    </w:p>
    <w:p>
      <w:pPr>
        <w:pStyle w:val="null3"/>
        <w:ind w:firstLine="480"/>
      </w:pPr>
      <w:r>
        <w:rPr/>
        <w:t>联系电话：</w:t>
      </w:r>
      <w:r>
        <w:rPr/>
        <w:t>0813-2110917</w:t>
      </w:r>
    </w:p>
    <w:p>
      <w:pPr>
        <w:pStyle w:val="null3"/>
      </w:pP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采购包1：532,000.00元</w:t>
            </w:r>
            <w:r>
              <w:rPr/>
              <w:t>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p>
          <w:p>
            <w:pPr>
              <w:pStyle w:val="null3"/>
            </w:pPr>
            <w:r>
              <w:rPr/>
              <w:t>采购包1：最低评标价法</w:t>
            </w:r>
            <w:r>
              <w:rPr/>
              <w:t>（详见第五章）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落实节能、环保、无线局域网、信息安全产品政策</w:t>
            </w:r>
          </w:p>
        </w:tc>
        <w:tc>
          <w:tcPr>
            <w:tcW w:type="dxa" w:w="5004"/>
          </w:tcPr>
          <w:p>
            <w:pPr>
              <w:pStyle w:val="null3"/>
            </w:pPr>
            <w:r>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4.响应产品属于中国政府采购网公布的《无线局域网认证产品政府采购清单》且在有效期内的，按《财政部国家发展改革委信息产业部关于印发无线局域网产品政府采购实施意见的通知》（财库〔2005〕366号）要求优先采购。</w:t>
            </w:r>
          </w:p>
          <w:p>
            <w:pPr>
              <w:pStyle w:val="null3"/>
            </w:pPr>
            <w:r>
              <w:rPr/>
              <w:t>5.                     本项目采购</w:t>
            </w:r>
            <w:r>
              <w:rPr/>
              <w:t>无</w:t>
            </w:r>
            <w:r>
              <w:rPr/>
              <w:t>产品属于信息安全产品，根据《关于信息安全产品实施政府采购的通知》（财库〔2010〕48号）的要求，供应商应当提供由中国网络安全审查技术与认证中心按国家标准认证颁发的有效认证证书和销售许可证，否则其投标文件将被视为无效投标处理。具体详见《信息安全产品强制性认证目录》。</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本项目不收取投标保证金。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tc>
      </w:tr>
      <w:tr>
        <w:tc>
          <w:tcPr>
            <w:tcW w:type="dxa" w:w="1051"/>
          </w:tcPr>
          <w:p>
            <w:pPr>
              <w:pStyle w:val="null3"/>
            </w:pPr>
            <w:r>
              <w:rPr/>
              <w:t>11</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代理服务费收费标准：定额收取5873元。 开户名称：安迅达工程咨询有限公司富洲分公司； 开 户 行：中国工商银行股份有限公司自贡分行； 账 号：2303303109100080745</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中标通知书</w:t>
            </w:r>
          </w:p>
        </w:tc>
        <w:tc>
          <w:tcPr>
            <w:tcW w:type="dxa" w:w="5004"/>
          </w:tcPr>
          <w:p>
            <w:pPr>
              <w:pStyle w:val="null3"/>
            </w:pPr>
            <w:r>
              <w:rPr/>
              <w:t>采购结果公告后，采购人或代理机构通过项目电子化交易系统向中标供应商发出中标通知书；中标供应商通过项目电子化交易系统获取中标通知书。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出现下列情形之一的，采购人或者采购代理机构应当中止电子化采购活动，并保留相关证明材料备查：</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二、本招标文件的最终解释权由</w:t>
      </w:r>
      <w:r>
        <w:rPr/>
        <w:t>自贡市第一人民医院</w:t>
      </w:r>
      <w:r>
        <w:rPr/>
        <w:t>和</w:t>
      </w:r>
      <w:r>
        <w:rPr/>
        <w:t>安迅达工程咨询有限公司</w:t>
      </w:r>
      <w:r>
        <w:rPr/>
        <w:t>享有。对招标文件中供应商参加本次政府采购活动应当具备的条件，招标项目技术、服务、商务及其他要求，评标细则及标准由</w:t>
      </w:r>
      <w:r>
        <w:rPr/>
        <w:t>自贡市第一人民医院</w:t>
      </w:r>
      <w:r>
        <w:rPr/>
        <w:t>负责解释。除上述招标文件内容，其他内容由</w:t>
      </w:r>
      <w:r>
        <w:rPr/>
        <w:t>安迅达工程咨询有限公司</w:t>
      </w:r>
      <w:r>
        <w:rPr/>
        <w:t>负责解释。</w:t>
      </w:r>
    </w:p>
    <w:p>
      <w:pPr>
        <w:pStyle w:val="null3"/>
        <w:outlineLvl w:val="3"/>
      </w:pPr>
      <w:r>
        <w:rPr>
          <w:b/>
          <w:sz w:val="24"/>
        </w:rPr>
        <w:t>2.2.2有关定义</w:t>
      </w:r>
    </w:p>
    <w:p>
      <w:pPr>
        <w:pStyle w:val="null3"/>
        <w:ind w:firstLine="480"/>
      </w:pPr>
      <w:r>
        <w:rPr/>
        <w:t>一、“采购人”是指依法进行政府采购的各级国家机关、事业单位、团体组织。本次招标的采购人是</w:t>
      </w:r>
      <w:r>
        <w:rPr/>
        <w:t>自贡市第一人民医院</w:t>
      </w:r>
      <w:r>
        <w:rPr/>
        <w:t>。</w:t>
      </w:r>
    </w:p>
    <w:p>
      <w:pPr>
        <w:pStyle w:val="null3"/>
        <w:ind w:firstLine="480"/>
      </w:pPr>
      <w:r>
        <w:rPr/>
        <w:t>二、“投标人”是指按照采购公告规定获取了招标文件，拟参加投标和向采购人提供货物及相应服务的法人、其他组织或者自然人。</w:t>
      </w:r>
    </w:p>
    <w:p>
      <w:pPr>
        <w:pStyle w:val="null3"/>
        <w:ind w:firstLine="480"/>
      </w:pPr>
      <w:r>
        <w:rPr/>
        <w:t>三、“代理机构”是指政府采购集中采购机构和从事政府采购代理业务的社会中介机构。本项目的代理机构是</w:t>
      </w:r>
      <w:r>
        <w:rPr/>
        <w:t>安迅达工程咨询有限公司</w:t>
      </w:r>
      <w:r>
        <w:rPr/>
        <w:t>。</w:t>
      </w:r>
    </w:p>
    <w:p>
      <w:pPr>
        <w:pStyle w:val="null3"/>
        <w:ind w:firstLine="480"/>
      </w:pPr>
      <w:r>
        <w:rPr/>
        <w:t>四、“网上开标”是指代理机构通过项目电子化交易系统在线完成签到、开标、唱标和记录等活动，供应商通过项目电子化交易系统在线完成投标文件解密、参与开标活动。</w:t>
      </w:r>
    </w:p>
    <w:p>
      <w:pPr>
        <w:pStyle w:val="null3"/>
        <w:ind w:firstLine="480"/>
      </w:pPr>
      <w:r>
        <w:rPr/>
        <w:t>五、“电子评标”是指通过项目电子化交易系统在线完成评标委员会组建，开展资格和符合性审查、比较与评价、出具评标报告、推荐中标候选供应商等活动。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二、投标人应认真阅读和充分理解招标文件中所有的事项、格式条款和规范要求。投标人没有对招标文件全面做出实质性响应所产生的风险由投标人承担。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二、澄清或者修改的内容为招标文件的组成部分，采购人或者代理机构将在四川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2.4.2计量单位（实质性要求）</w:t>
      </w:r>
    </w:p>
    <w:p>
      <w:pPr>
        <w:pStyle w:val="null3"/>
        <w:ind w:firstLine="480"/>
      </w:pPr>
      <w:r>
        <w:rPr/>
        <w:t>除招标文件中另有规定外，本项目均采用国家法定的计量单位。</w:t>
      </w:r>
    </w:p>
    <w:p>
      <w:pPr>
        <w:pStyle w:val="null3"/>
        <w:outlineLvl w:val="3"/>
      </w:pPr>
      <w:r>
        <w:rPr>
          <w:b/>
          <w:sz w:val="24"/>
        </w:rPr>
        <w:t>2.4.3投标货币（实质性要求）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二、投标人每种货物及服务内容只允许有一个报价，并且在合同履行过程中是固定不变的，任何有选择或可调整的报价将不予接受，并按无效投标处理。</w:t>
      </w:r>
    </w:p>
    <w:p>
      <w:pPr>
        <w:pStyle w:val="null3"/>
        <w:ind w:firstLine="480"/>
      </w:pPr>
      <w:r>
        <w:rPr/>
        <w:t>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一、投标文件应当根据招标文件进行编制，投标人应通过四川政府采购网-办事指南下载投标（响应）客户端，使用客户端编制投标文件。</w:t>
      </w:r>
    </w:p>
    <w:p>
      <w:pPr>
        <w:pStyle w:val="null3"/>
        <w:ind w:firstLine="480"/>
      </w:pPr>
      <w:r>
        <w:rPr/>
        <w:t>二、投标人应按照客户端操作要求，对应招标文件的每项实质性要求，逐一如实响应；未如实响应或者响应内容不符合招标文件对应项的要求的，其投标文件作无效处理。</w:t>
      </w:r>
    </w:p>
    <w:p>
      <w:pPr>
        <w:pStyle w:val="null3"/>
        <w:ind w:firstLine="480"/>
      </w:pPr>
      <w:r>
        <w:rPr/>
        <w:t>三、投标人完成投标文件编制后，应按照招标文件第一章明确的签章要求，使用互认的证书及签章对投标文件进行电子签章和加密。</w:t>
      </w:r>
    </w:p>
    <w:p>
      <w:pPr>
        <w:pStyle w:val="null3"/>
        <w:ind w:firstLine="480"/>
      </w:pPr>
      <w:r>
        <w:rPr/>
        <w:t>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一、本项目为网上开标项目。网上开标的开始时间为投标文件提交截止时间。成功提交或成功提交和解密电子投标文件的投标人不足3家的，不予开标，采购人或代理机构将作废标处理。</w:t>
      </w:r>
    </w:p>
    <w:p>
      <w:pPr>
        <w:pStyle w:val="null3"/>
        <w:ind w:firstLine="480"/>
      </w:pPr>
      <w:r>
        <w:rPr/>
        <w:t>二、开标准备工作</w:t>
      </w:r>
    </w:p>
    <w:p>
      <w:pPr>
        <w:pStyle w:val="null3"/>
        <w:ind w:firstLine="480"/>
      </w:pPr>
      <w:r>
        <w:rPr/>
        <w:t>开标开始时间前，投标人登录项目电子化交易系统-“开标/开启大厅”参与开标。</w:t>
      </w:r>
    </w:p>
    <w:p>
      <w:pPr>
        <w:pStyle w:val="null3"/>
        <w:ind w:firstLine="480"/>
      </w:pPr>
      <w:r>
        <w:rPr/>
        <w:t>三、解密投标文件（实质性要求）</w:t>
      </w:r>
    </w:p>
    <w:p>
      <w:pPr>
        <w:pStyle w:val="null3"/>
        <w:ind w:firstLine="480"/>
      </w:pPr>
      <w:r>
        <w:rPr/>
        <w:t>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一、采购人或者评标委员会确认中标供应商后，代理机构在四川政府采购网发布中标结果公告、通过项目电子化交易系统发出中标通知书，中标供应商通过项目电子化交易系统获取中标通知书。</w:t>
      </w:r>
    </w:p>
    <w:p>
      <w:pPr>
        <w:pStyle w:val="null3"/>
        <w:ind w:firstLine="480"/>
      </w:pPr>
      <w:r>
        <w:rPr/>
        <w:t>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分段/分期验收</w:t>
      </w:r>
    </w:p>
    <w:p>
      <w:pPr>
        <w:pStyle w:val="null3"/>
        <w:ind w:firstLine="840"/>
      </w:pPr>
      <w:r>
        <w:rPr/>
        <w:t>7）履约验收时间：</w:t>
      </w:r>
    </w:p>
    <w:p>
      <w:pPr>
        <w:pStyle w:val="null3"/>
      </w:pPr>
    </w:p>
    <w:p>
      <w:pPr>
        <w:pStyle w:val="null3"/>
        <w:ind w:firstLine="1200"/>
      </w:pPr>
      <w:r>
        <w:rPr/>
        <w:t>供应商提出验收申请之日起</w:t>
      </w:r>
      <w:r>
        <w:rPr/>
        <w:t>30</w:t>
      </w:r>
      <w:r>
        <w:rPr/>
        <w:t>日内组织验收</w:t>
      </w:r>
    </w:p>
    <w:p>
      <w:pPr>
        <w:pStyle w:val="null3"/>
        <w:ind w:firstLine="840"/>
      </w:pPr>
      <w:r>
        <w:rPr/>
        <w:t>8）验收组织的其他事项：</w:t>
      </w:r>
      <w:r>
        <w:rPr/>
        <w:t>/</w:t>
      </w:r>
    </w:p>
    <w:p>
      <w:pPr>
        <w:pStyle w:val="null3"/>
        <w:ind w:firstLine="840"/>
      </w:pPr>
      <w:r>
        <w:rPr/>
        <w:t>9）技术履约验收内容：</w:t>
      </w:r>
      <w:r>
        <w:rPr/>
        <w:t>依据本项目的技术要求，投标人的响应文件，严格按照政府采购相关法律法规、以相关行业标准的要求和双方合同的相关要求进行验收。</w:t>
      </w:r>
    </w:p>
    <w:p>
      <w:pPr>
        <w:pStyle w:val="null3"/>
        <w:ind w:firstLine="840"/>
      </w:pPr>
      <w:r>
        <w:rPr/>
        <w:t>10）商务履约验收内容：</w:t>
      </w:r>
      <w:r>
        <w:rPr/>
        <w:t>按采购文件中明确的商务要求、投标人的响应文件及承诺以及合同约定标准进行验收。</w:t>
      </w:r>
    </w:p>
    <w:p>
      <w:pPr>
        <w:pStyle w:val="null3"/>
        <w:ind w:firstLine="840"/>
      </w:pPr>
      <w:r>
        <w:rPr/>
        <w:t>11）履约验收标准：</w:t>
      </w:r>
    </w:p>
    <w:p>
      <w:pPr>
        <w:pStyle w:val="null3"/>
      </w:pPr>
    </w:p>
    <w:p>
      <w:pPr>
        <w:pStyle w:val="null3"/>
        <w:ind w:firstLine="1200"/>
      </w:pPr>
      <w:r>
        <w:rPr/>
        <w:t>中标人与采购人应按照政府采购相关法律法规以及《财政部关于进一步加强政府采购需求和履约验收管理的指导意见》（财库[2016]205号）的规定，严格按照采购文件的质量要求和技术指标、投标人的响应文件及承诺、国家有关部门批准的技术标准、甲乙双方签订的合同，共同现场验收。</w:t>
      </w:r>
    </w:p>
    <w:p>
      <w:pPr>
        <w:pStyle w:val="null3"/>
        <w:ind w:firstLine="840"/>
      </w:pPr>
      <w:r>
        <w:rPr/>
        <w:t>12）履约验收其他事项：</w:t>
      </w: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b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投标人有上述情形的，按照规定追究法律责任，具有前述一至十一条情形之一的，其投标文件无效，或取消被确认为中标供应商的资格或认定中标无效。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根据委托代理协议约定，供应商对招标文件中采购需求的询问、质疑由</w:t>
      </w:r>
      <w:r>
        <w:rPr/>
        <w:t>安迅达工程咨询有限公司</w:t>
      </w:r>
      <w:r>
        <w:rPr/>
        <w:t>负责答复；供应商对除采购需求外的采购文件的询问、质疑由</w:t>
      </w:r>
      <w:r>
        <w:rPr/>
        <w:t>安迅达工程咨询有限公司</w:t>
      </w:r>
      <w:r>
        <w:rPr/>
        <w:t>负责答复；供应商对采购过程、采购结果的询问、质疑由</w:t>
      </w:r>
      <w:r>
        <w:rPr/>
        <w:t>安迅达工程咨询有限公司</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p>
    <w:p>
      <w:pPr>
        <w:pStyle w:val="null3"/>
      </w:pPr>
    </w:p>
    <w:p>
      <w:pPr>
        <w:pStyle w:val="null3"/>
      </w:pPr>
      <w:r>
        <w:rPr/>
        <w:t>答复主体：代理机构</w:t>
      </w:r>
    </w:p>
    <w:p>
      <w:pPr>
        <w:pStyle w:val="null3"/>
      </w:pPr>
      <w:r>
        <w:rPr/>
        <w:t>联系人：凌老师</w:t>
      </w:r>
    </w:p>
    <w:p>
      <w:pPr>
        <w:pStyle w:val="null3"/>
      </w:pPr>
      <w:r>
        <w:rPr/>
        <w:t>联系电话：17383497578</w:t>
      </w:r>
    </w:p>
    <w:p>
      <w:pPr>
        <w:pStyle w:val="null3"/>
      </w:pPr>
      <w:r>
        <w:rPr/>
        <w:t>地址：自贡市自流井区西苑街65号</w:t>
      </w:r>
    </w:p>
    <w:p>
      <w:pPr>
        <w:pStyle w:val="null3"/>
      </w:pPr>
      <w:r>
        <w:rPr/>
        <w:t>邮编：643000</w:t>
      </w:r>
    </w:p>
    <w:p>
      <w:pPr>
        <w:pStyle w:val="null3"/>
        <w:ind w:firstLine="480"/>
      </w:pPr>
      <w:r>
        <w:rPr/>
        <w:t>注：根据《中华人民共和国政府采购法》的规定，供应商质疑不得超出采购文件、采购过程、采购结果的范围。</w:t>
      </w:r>
    </w:p>
    <w:p>
      <w:pPr>
        <w:pStyle w:val="null3"/>
        <w:ind w:firstLine="480"/>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pPr>
    </w:p>
    <w:p>
      <w:pPr>
        <w:pStyle w:val="null3"/>
      </w:pPr>
      <w:r>
        <w:rPr>
          <w:rFonts w:ascii="宋体" w:hAnsi="宋体" w:cs="宋体" w:eastAsia="宋体"/>
        </w:rPr>
        <w:t>自贡市第一人民医院因临床诊疗需要，为保障院内医用气体（瓶装）供应需求。现拟对自贡市第一人民医院医用气体（瓶装）采购项目进行公开招标采购。</w:t>
      </w:r>
    </w:p>
    <w:p>
      <w:pPr>
        <w:pStyle w:val="null3"/>
        <w:ind w:firstLine="480"/>
        <w:outlineLvl w:val="2"/>
      </w:pPr>
      <w:r>
        <w:rPr>
          <w:b/>
          <w:sz w:val="28"/>
        </w:rPr>
        <w:t>3.2采购内容</w:t>
      </w:r>
    </w:p>
    <w:p>
      <w:pPr>
        <w:pStyle w:val="null3"/>
      </w:pPr>
    </w:p>
    <w:p>
      <w:pPr>
        <w:pStyle w:val="null3"/>
      </w:pPr>
    </w:p>
    <w:p>
      <w:pPr>
        <w:pStyle w:val="null3"/>
      </w:pPr>
    </w:p>
    <w:p>
      <w:pPr>
        <w:pStyle w:val="null3"/>
      </w:pPr>
      <w:r>
        <w:rPr/>
        <w:t>采购包1：</w:t>
      </w:r>
    </w:p>
    <w:p>
      <w:pPr>
        <w:pStyle w:val="null3"/>
      </w:pPr>
      <w:r>
        <w:rPr/>
        <w:t>采购包预算金额（元）: 532,000.00</w:t>
      </w:r>
    </w:p>
    <w:p>
      <w:pPr>
        <w:pStyle w:val="null3"/>
      </w:pPr>
      <w:r>
        <w:rPr/>
        <w:t>采购包最高限价（元）: 513,008.00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医用氧气（瓶装10L）</w:t>
            </w:r>
          </w:p>
        </w:tc>
        <w:tc>
          <w:tcPr>
            <w:tcW w:type="dxa" w:w="831"/>
          </w:tcPr>
          <w:p>
            <w:pPr>
              <w:pStyle w:val="null3"/>
              <w:jc w:val="right"/>
            </w:pPr>
            <w:r>
              <w:rPr/>
              <w:t>1,930.00</w:t>
            </w:r>
          </w:p>
        </w:tc>
        <w:tc>
          <w:tcPr>
            <w:tcW w:type="dxa" w:w="831"/>
          </w:tcPr>
          <w:p>
            <w:pPr>
              <w:pStyle w:val="null3"/>
              <w:jc w:val="right"/>
            </w:pPr>
            <w:r>
              <w:rPr/>
              <w:t>32,810.00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医用氧气（瓶装40L）</w:t>
            </w:r>
          </w:p>
        </w:tc>
        <w:tc>
          <w:tcPr>
            <w:tcW w:type="dxa" w:w="831"/>
          </w:tcPr>
          <w:p>
            <w:pPr>
              <w:pStyle w:val="null3"/>
              <w:jc w:val="right"/>
            </w:pPr>
            <w:r>
              <w:rPr/>
              <w:t>9,734.00</w:t>
            </w:r>
          </w:p>
        </w:tc>
        <w:tc>
          <w:tcPr>
            <w:tcW w:type="dxa" w:w="831"/>
          </w:tcPr>
          <w:p>
            <w:pPr>
              <w:pStyle w:val="null3"/>
              <w:jc w:val="right"/>
            </w:pPr>
            <w:r>
              <w:rPr/>
              <w:t>311,488.00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溶解乙炔（瓶装5KG）</w:t>
            </w:r>
          </w:p>
        </w:tc>
        <w:tc>
          <w:tcPr>
            <w:tcW w:type="dxa" w:w="831"/>
          </w:tcPr>
          <w:p>
            <w:pPr>
              <w:pStyle w:val="null3"/>
              <w:jc w:val="right"/>
            </w:pPr>
            <w:r>
              <w:rPr/>
              <w:t>4.00</w:t>
            </w:r>
          </w:p>
        </w:tc>
        <w:tc>
          <w:tcPr>
            <w:tcW w:type="dxa" w:w="831"/>
          </w:tcPr>
          <w:p>
            <w:pPr>
              <w:pStyle w:val="null3"/>
              <w:jc w:val="right"/>
            </w:pPr>
            <w:r>
              <w:rPr/>
              <w:t>1,200.00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高纯氮（瓶装40L）</w:t>
            </w:r>
          </w:p>
        </w:tc>
        <w:tc>
          <w:tcPr>
            <w:tcW w:type="dxa" w:w="831"/>
          </w:tcPr>
          <w:p>
            <w:pPr>
              <w:pStyle w:val="null3"/>
              <w:jc w:val="right"/>
            </w:pPr>
            <w:r>
              <w:rPr/>
              <w:t>448.00</w:t>
            </w:r>
          </w:p>
        </w:tc>
        <w:tc>
          <w:tcPr>
            <w:tcW w:type="dxa" w:w="831"/>
          </w:tcPr>
          <w:p>
            <w:pPr>
              <w:pStyle w:val="null3"/>
              <w:jc w:val="right"/>
            </w:pPr>
            <w:r>
              <w:rPr/>
              <w:t>87,360.00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高纯氩（瓶装40L）</w:t>
            </w:r>
          </w:p>
        </w:tc>
        <w:tc>
          <w:tcPr>
            <w:tcW w:type="dxa" w:w="831"/>
          </w:tcPr>
          <w:p>
            <w:pPr>
              <w:pStyle w:val="null3"/>
              <w:jc w:val="right"/>
            </w:pPr>
            <w:r>
              <w:rPr/>
              <w:t>4.00</w:t>
            </w:r>
          </w:p>
        </w:tc>
        <w:tc>
          <w:tcPr>
            <w:tcW w:type="dxa" w:w="831"/>
          </w:tcPr>
          <w:p>
            <w:pPr>
              <w:pStyle w:val="null3"/>
              <w:jc w:val="right"/>
            </w:pPr>
            <w:r>
              <w:rPr/>
              <w:t>720.00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高纯氩（瓶装10L）</w:t>
            </w:r>
          </w:p>
        </w:tc>
        <w:tc>
          <w:tcPr>
            <w:tcW w:type="dxa" w:w="831"/>
          </w:tcPr>
          <w:p>
            <w:pPr>
              <w:pStyle w:val="null3"/>
              <w:jc w:val="right"/>
            </w:pPr>
            <w:r>
              <w:rPr/>
              <w:t>6.00</w:t>
            </w:r>
          </w:p>
        </w:tc>
        <w:tc>
          <w:tcPr>
            <w:tcW w:type="dxa" w:w="831"/>
          </w:tcPr>
          <w:p>
            <w:pPr>
              <w:pStyle w:val="null3"/>
              <w:jc w:val="right"/>
            </w:pPr>
            <w:r>
              <w:rPr/>
              <w:t>510.00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液氮（散装1L）</w:t>
            </w:r>
          </w:p>
        </w:tc>
        <w:tc>
          <w:tcPr>
            <w:tcW w:type="dxa" w:w="831"/>
          </w:tcPr>
          <w:p>
            <w:pPr>
              <w:pStyle w:val="null3"/>
              <w:jc w:val="right"/>
            </w:pPr>
            <w:r>
              <w:rPr/>
              <w:t>2,760.00</w:t>
            </w:r>
          </w:p>
        </w:tc>
        <w:tc>
          <w:tcPr>
            <w:tcW w:type="dxa" w:w="831"/>
          </w:tcPr>
          <w:p>
            <w:pPr>
              <w:pStyle w:val="null3"/>
              <w:jc w:val="right"/>
            </w:pPr>
            <w:r>
              <w:rPr/>
              <w:t>27,600.00</w:t>
            </w:r>
          </w:p>
        </w:tc>
        <w:tc>
          <w:tcPr>
            <w:tcW w:type="dxa" w:w="831"/>
          </w:tcPr>
          <w:p>
            <w:pPr>
              <w:pStyle w:val="null3"/>
            </w:pPr>
            <w:r>
              <w:rPr/>
              <w:t>升</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二氧化碳（瓶装40L）</w:t>
            </w:r>
          </w:p>
        </w:tc>
        <w:tc>
          <w:tcPr>
            <w:tcW w:type="dxa" w:w="831"/>
          </w:tcPr>
          <w:p>
            <w:pPr>
              <w:pStyle w:val="null3"/>
              <w:jc w:val="right"/>
            </w:pPr>
            <w:r>
              <w:rPr/>
              <w:t>240.00</w:t>
            </w:r>
          </w:p>
        </w:tc>
        <w:tc>
          <w:tcPr>
            <w:tcW w:type="dxa" w:w="831"/>
          </w:tcPr>
          <w:p>
            <w:pPr>
              <w:pStyle w:val="null3"/>
              <w:jc w:val="right"/>
            </w:pPr>
            <w:r>
              <w:rPr/>
              <w:t>48,000.00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肺功能标气40L（1）</w:t>
            </w:r>
          </w:p>
        </w:tc>
        <w:tc>
          <w:tcPr>
            <w:tcW w:type="dxa" w:w="831"/>
          </w:tcPr>
          <w:p>
            <w:pPr>
              <w:pStyle w:val="null3"/>
              <w:jc w:val="right"/>
            </w:pPr>
            <w:r>
              <w:rPr/>
              <w:t>2.00</w:t>
            </w:r>
          </w:p>
        </w:tc>
        <w:tc>
          <w:tcPr>
            <w:tcW w:type="dxa" w:w="831"/>
          </w:tcPr>
          <w:p>
            <w:pPr>
              <w:pStyle w:val="null3"/>
              <w:jc w:val="right"/>
            </w:pPr>
            <w:r>
              <w:rPr/>
              <w:t>1,760.00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肺功能标气40L（2）</w:t>
            </w:r>
          </w:p>
        </w:tc>
        <w:tc>
          <w:tcPr>
            <w:tcW w:type="dxa" w:w="831"/>
          </w:tcPr>
          <w:p>
            <w:pPr>
              <w:pStyle w:val="null3"/>
              <w:jc w:val="right"/>
            </w:pPr>
            <w:r>
              <w:rPr/>
              <w:t>2.00</w:t>
            </w:r>
          </w:p>
        </w:tc>
        <w:tc>
          <w:tcPr>
            <w:tcW w:type="dxa" w:w="831"/>
          </w:tcPr>
          <w:p>
            <w:pPr>
              <w:pStyle w:val="null3"/>
              <w:jc w:val="right"/>
            </w:pPr>
            <w:r>
              <w:rPr/>
              <w:t>1,560.00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ind w:firstLine="480"/>
        <w:outlineLvl w:val="2"/>
      </w:pPr>
      <w:r>
        <w:rPr>
          <w:b/>
          <w:sz w:val="28"/>
        </w:rPr>
        <w:t>3.3技术要求</w:t>
      </w:r>
    </w:p>
    <w:p>
      <w:pPr>
        <w:pStyle w:val="null3"/>
      </w:pPr>
    </w:p>
    <w:p>
      <w:pPr>
        <w:pStyle w:val="null3"/>
      </w:pPr>
    </w:p>
    <w:p>
      <w:pPr>
        <w:pStyle w:val="null3"/>
      </w:pPr>
    </w:p>
    <w:p>
      <w:pPr>
        <w:pStyle w:val="null3"/>
      </w:pPr>
      <w:r>
        <w:rPr/>
        <w:t>采购包1：</w:t>
      </w:r>
    </w:p>
    <w:p>
      <w:pPr>
        <w:pStyle w:val="null3"/>
      </w:pPr>
    </w:p>
    <w:p>
      <w:pPr>
        <w:pStyle w:val="null3"/>
      </w:pPr>
      <w:r>
        <w:rPr/>
        <w:t>标的名称：医用氧气（瓶装10L）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《中国药典》</w:t>
            </w:r>
            <w:r>
              <w:rPr>
                <w:rFonts w:ascii="宋体" w:hAnsi="宋体" w:cs="宋体" w:eastAsia="宋体"/>
                <w:sz w:val="24"/>
              </w:rPr>
              <w:t>2020版，纯度≥99.5%</w:t>
            </w:r>
          </w:p>
        </w:tc>
      </w:tr>
    </w:tbl>
    <w:p>
      <w:pPr>
        <w:pStyle w:val="null3"/>
      </w:pPr>
    </w:p>
    <w:p>
      <w:pPr>
        <w:pStyle w:val="null3"/>
      </w:pPr>
      <w:r>
        <w:rPr/>
        <w:t>标的名称：医用氧气（瓶装40L）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《中国药典》</w:t>
            </w:r>
            <w:r>
              <w:rPr>
                <w:rFonts w:ascii="宋体" w:hAnsi="宋体" w:cs="宋体" w:eastAsia="宋体"/>
                <w:sz w:val="24"/>
              </w:rPr>
              <w:t>2020版，纯度≥99.5%</w:t>
            </w:r>
          </w:p>
        </w:tc>
      </w:tr>
    </w:tbl>
    <w:p>
      <w:pPr>
        <w:pStyle w:val="null3"/>
      </w:pPr>
    </w:p>
    <w:p>
      <w:pPr>
        <w:pStyle w:val="null3"/>
      </w:pPr>
      <w:r>
        <w:rPr/>
        <w:t>标的名称：溶解乙炔（瓶装5KG）</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GB/T6819-2004，纯度≥99.99%</w:t>
            </w:r>
          </w:p>
        </w:tc>
      </w:tr>
    </w:tbl>
    <w:p>
      <w:pPr>
        <w:pStyle w:val="null3"/>
      </w:pPr>
    </w:p>
    <w:p>
      <w:pPr>
        <w:pStyle w:val="null3"/>
      </w:pPr>
      <w:r>
        <w:rPr/>
        <w:t>标的名称：高纯氮（瓶装40L）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GB/T8979-2008，纯度≥99.99%</w:t>
            </w:r>
          </w:p>
        </w:tc>
      </w:tr>
    </w:tbl>
    <w:p>
      <w:pPr>
        <w:pStyle w:val="null3"/>
      </w:pPr>
    </w:p>
    <w:p>
      <w:pPr>
        <w:pStyle w:val="null3"/>
      </w:pPr>
      <w:r>
        <w:rPr/>
        <w:t>标的名称：高纯氩（瓶装40L）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GB/T4842-2017，纯度≥99.999%</w:t>
            </w:r>
          </w:p>
        </w:tc>
      </w:tr>
    </w:tbl>
    <w:p>
      <w:pPr>
        <w:pStyle w:val="null3"/>
      </w:pPr>
    </w:p>
    <w:p>
      <w:pPr>
        <w:pStyle w:val="null3"/>
      </w:pPr>
      <w:r>
        <w:rPr/>
        <w:t>标的名称：高纯氩（瓶装10L）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GB/T4842-2017，纯度≥99.999%</w:t>
            </w:r>
          </w:p>
        </w:tc>
      </w:tr>
    </w:tbl>
    <w:p>
      <w:pPr>
        <w:pStyle w:val="null3"/>
      </w:pPr>
    </w:p>
    <w:p>
      <w:pPr>
        <w:pStyle w:val="null3"/>
      </w:pPr>
      <w:r>
        <w:rPr/>
        <w:t>标的名称：液氮（散装1L）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GB/T8979-2008</w:t>
            </w:r>
          </w:p>
        </w:tc>
      </w:tr>
    </w:tbl>
    <w:p>
      <w:pPr>
        <w:pStyle w:val="null3"/>
      </w:pPr>
    </w:p>
    <w:p>
      <w:pPr>
        <w:pStyle w:val="null3"/>
      </w:pPr>
      <w:r>
        <w:rPr/>
        <w:t>标的名称：二氧化碳（瓶装40L）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GB/T1886.228-2016，纯度≥99.5%（食品级）</w:t>
            </w:r>
          </w:p>
        </w:tc>
      </w:tr>
    </w:tbl>
    <w:p>
      <w:pPr>
        <w:pStyle w:val="null3"/>
      </w:pPr>
    </w:p>
    <w:p>
      <w:pPr>
        <w:pStyle w:val="null3"/>
      </w:pPr>
      <w:r>
        <w:rPr/>
        <w:t>标的名称：肺功能标气40L（1）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主要成分（</w:t>
            </w:r>
            <w:r>
              <w:rPr>
                <w:rFonts w:ascii="宋体" w:hAnsi="宋体" w:cs="宋体" w:eastAsia="宋体"/>
                <w:sz w:val="24"/>
              </w:rPr>
              <w:t>CH</w:t>
            </w:r>
            <w:r>
              <w:rPr>
                <w:rFonts w:ascii="宋体" w:hAnsi="宋体" w:cs="宋体" w:eastAsia="宋体"/>
                <w:sz w:val="24"/>
              </w:rPr>
              <w:t>4</w:t>
            </w:r>
            <w:r>
              <w:rPr>
                <w:rFonts w:ascii="宋体" w:hAnsi="宋体" w:cs="宋体" w:eastAsia="宋体"/>
                <w:sz w:val="24"/>
              </w:rPr>
              <w:t>0.3*10</w:t>
            </w:r>
            <w:r>
              <w:rPr>
                <w:rFonts w:ascii="宋体" w:hAnsi="宋体" w:cs="宋体" w:eastAsia="宋体"/>
                <w:sz w:val="24"/>
              </w:rPr>
              <w:t>-2</w:t>
            </w:r>
            <w:r>
              <w:rPr>
                <w:rFonts w:ascii="宋体" w:hAnsi="宋体" w:cs="宋体" w:eastAsia="宋体"/>
                <w:sz w:val="24"/>
              </w:rPr>
              <w:t>、</w:t>
            </w:r>
            <w:r>
              <w:rPr>
                <w:rFonts w:ascii="宋体" w:hAnsi="宋体" w:cs="宋体" w:eastAsia="宋体"/>
                <w:sz w:val="24"/>
              </w:rPr>
              <w:t>CO 0.3*10</w:t>
            </w:r>
            <w:r>
              <w:rPr>
                <w:rFonts w:ascii="宋体" w:hAnsi="宋体" w:cs="宋体" w:eastAsia="宋体"/>
                <w:sz w:val="24"/>
              </w:rPr>
              <w:t>-2</w:t>
            </w:r>
            <w:r>
              <w:rPr>
                <w:rFonts w:ascii="宋体" w:hAnsi="宋体" w:cs="宋体" w:eastAsia="宋体"/>
                <w:sz w:val="24"/>
              </w:rPr>
              <w:t>、</w:t>
            </w:r>
            <w:r>
              <w:rPr>
                <w:rFonts w:ascii="宋体" w:hAnsi="宋体" w:cs="宋体" w:eastAsia="宋体"/>
                <w:sz w:val="24"/>
              </w:rPr>
              <w:t>C</w:t>
            </w:r>
            <w:r>
              <w:rPr>
                <w:rFonts w:ascii="宋体" w:hAnsi="宋体" w:cs="宋体" w:eastAsia="宋体"/>
                <w:sz w:val="24"/>
              </w:rPr>
              <w:t>2</w:t>
            </w:r>
            <w:r>
              <w:rPr>
                <w:rFonts w:ascii="宋体" w:hAnsi="宋体" w:cs="宋体" w:eastAsia="宋体"/>
                <w:sz w:val="24"/>
              </w:rPr>
              <w:t>H</w:t>
            </w:r>
            <w:r>
              <w:rPr>
                <w:rFonts w:ascii="宋体" w:hAnsi="宋体" w:cs="宋体" w:eastAsia="宋体"/>
                <w:sz w:val="24"/>
              </w:rPr>
              <w:t>2</w:t>
            </w:r>
            <w:r>
              <w:rPr>
                <w:rFonts w:ascii="宋体" w:hAnsi="宋体" w:cs="宋体" w:eastAsia="宋体"/>
                <w:sz w:val="24"/>
              </w:rPr>
              <w:t>0.301*10</w:t>
            </w:r>
            <w:r>
              <w:rPr>
                <w:rFonts w:ascii="宋体" w:hAnsi="宋体" w:cs="宋体" w:eastAsia="宋体"/>
                <w:sz w:val="24"/>
              </w:rPr>
              <w:t>-2</w:t>
            </w:r>
            <w:r>
              <w:rPr>
                <w:rFonts w:ascii="宋体" w:hAnsi="宋体" w:cs="宋体" w:eastAsia="宋体"/>
                <w:sz w:val="24"/>
              </w:rPr>
              <w:t>、</w:t>
            </w:r>
            <w:r>
              <w:rPr>
                <w:rFonts w:ascii="宋体" w:hAnsi="宋体" w:cs="宋体" w:eastAsia="宋体"/>
                <w:sz w:val="24"/>
              </w:rPr>
              <w:t>O</w:t>
            </w:r>
            <w:r>
              <w:rPr>
                <w:rFonts w:ascii="宋体" w:hAnsi="宋体" w:cs="宋体" w:eastAsia="宋体"/>
                <w:sz w:val="24"/>
              </w:rPr>
              <w:t>2</w:t>
            </w:r>
            <w:r>
              <w:rPr>
                <w:rFonts w:ascii="宋体" w:hAnsi="宋体" w:cs="宋体" w:eastAsia="宋体"/>
                <w:sz w:val="24"/>
              </w:rPr>
              <w:t>20.9*10</w:t>
            </w:r>
            <w:r>
              <w:rPr>
                <w:rFonts w:ascii="宋体" w:hAnsi="宋体" w:cs="宋体" w:eastAsia="宋体"/>
                <w:sz w:val="24"/>
              </w:rPr>
              <w:t>-2</w:t>
            </w:r>
            <w:r>
              <w:rPr>
                <w:rFonts w:ascii="宋体" w:hAnsi="宋体" w:cs="宋体" w:eastAsia="宋体"/>
                <w:sz w:val="24"/>
              </w:rPr>
              <w:t>、</w:t>
            </w:r>
            <w:r>
              <w:rPr>
                <w:rFonts w:ascii="宋体" w:hAnsi="宋体" w:cs="宋体" w:eastAsia="宋体"/>
                <w:sz w:val="24"/>
              </w:rPr>
              <w:t>N</w:t>
            </w:r>
            <w:r>
              <w:rPr>
                <w:rFonts w:ascii="宋体" w:hAnsi="宋体" w:cs="宋体" w:eastAsia="宋体"/>
                <w:sz w:val="24"/>
              </w:rPr>
              <w:t>2</w:t>
            </w:r>
            <w:r>
              <w:rPr>
                <w:rFonts w:ascii="宋体" w:hAnsi="宋体" w:cs="宋体" w:eastAsia="宋体"/>
                <w:sz w:val="24"/>
              </w:rPr>
              <w:t>余量）</w:t>
            </w:r>
          </w:p>
        </w:tc>
      </w:tr>
    </w:tbl>
    <w:p>
      <w:pPr>
        <w:pStyle w:val="null3"/>
      </w:pPr>
    </w:p>
    <w:p>
      <w:pPr>
        <w:pStyle w:val="null3"/>
      </w:pPr>
      <w:r>
        <w:rPr/>
        <w:t>标的名称：肺功能标气40L（2）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主要成分（</w:t>
            </w:r>
            <w:r>
              <w:rPr>
                <w:rFonts w:ascii="宋体" w:hAnsi="宋体" w:cs="宋体" w:eastAsia="宋体"/>
                <w:sz w:val="24"/>
              </w:rPr>
              <w:t>CO</w:t>
            </w:r>
            <w:r>
              <w:rPr>
                <w:rFonts w:ascii="宋体" w:hAnsi="宋体" w:cs="宋体" w:eastAsia="宋体"/>
                <w:sz w:val="24"/>
              </w:rPr>
              <w:t>2</w:t>
            </w:r>
            <w:r>
              <w:rPr>
                <w:rFonts w:ascii="宋体" w:hAnsi="宋体" w:cs="宋体" w:eastAsia="宋体"/>
                <w:sz w:val="24"/>
              </w:rPr>
              <w:t xml:space="preserve"> </w:t>
            </w:r>
            <w:r>
              <w:rPr>
                <w:rFonts w:ascii="宋体" w:hAnsi="宋体" w:cs="宋体" w:eastAsia="宋体"/>
                <w:sz w:val="24"/>
              </w:rPr>
              <w:t>5.0*10</w:t>
            </w:r>
            <w:r>
              <w:rPr>
                <w:rFonts w:ascii="宋体" w:hAnsi="宋体" w:cs="宋体" w:eastAsia="宋体"/>
                <w:sz w:val="24"/>
              </w:rPr>
              <w:t>-2</w:t>
            </w:r>
            <w:r>
              <w:rPr>
                <w:rFonts w:ascii="宋体" w:hAnsi="宋体" w:cs="宋体" w:eastAsia="宋体"/>
                <w:sz w:val="24"/>
              </w:rPr>
              <w:t>、</w:t>
            </w:r>
            <w:r>
              <w:rPr>
                <w:rFonts w:ascii="宋体" w:hAnsi="宋体" w:cs="宋体" w:eastAsia="宋体"/>
                <w:sz w:val="24"/>
              </w:rPr>
              <w:t>O</w:t>
            </w:r>
            <w:r>
              <w:rPr>
                <w:rFonts w:ascii="宋体" w:hAnsi="宋体" w:cs="宋体" w:eastAsia="宋体"/>
                <w:sz w:val="24"/>
              </w:rPr>
              <w:t>2</w:t>
            </w:r>
            <w:r>
              <w:rPr>
                <w:rFonts w:ascii="宋体" w:hAnsi="宋体" w:cs="宋体" w:eastAsia="宋体"/>
                <w:sz w:val="24"/>
              </w:rPr>
              <w:t>16.0*10</w:t>
            </w:r>
            <w:r>
              <w:rPr>
                <w:rFonts w:ascii="宋体" w:hAnsi="宋体" w:cs="宋体" w:eastAsia="宋体"/>
                <w:sz w:val="24"/>
              </w:rPr>
              <w:t>-2</w:t>
            </w:r>
            <w:r>
              <w:rPr>
                <w:rFonts w:ascii="宋体" w:hAnsi="宋体" w:cs="宋体" w:eastAsia="宋体"/>
                <w:sz w:val="24"/>
              </w:rPr>
              <w:t>、</w:t>
            </w:r>
            <w:r>
              <w:rPr>
                <w:rFonts w:ascii="宋体" w:hAnsi="宋体" w:cs="宋体" w:eastAsia="宋体"/>
                <w:sz w:val="24"/>
              </w:rPr>
              <w:t>N</w:t>
            </w:r>
            <w:r>
              <w:rPr>
                <w:rFonts w:ascii="宋体" w:hAnsi="宋体" w:cs="宋体" w:eastAsia="宋体"/>
                <w:sz w:val="24"/>
              </w:rPr>
              <w:t>2</w:t>
            </w:r>
            <w:r>
              <w:rPr>
                <w:rFonts w:ascii="宋体" w:hAnsi="宋体" w:cs="宋体" w:eastAsia="宋体"/>
                <w:sz w:val="24"/>
              </w:rPr>
              <w:t>余量）</w:t>
            </w:r>
          </w:p>
        </w:tc>
      </w:tr>
    </w:tbl>
    <w:p>
      <w:pPr>
        <w:pStyle w:val="null3"/>
        <w:ind w:firstLine="480"/>
        <w:outlineLvl w:val="2"/>
      </w:pPr>
      <w:r>
        <w:rPr>
          <w:b/>
          <w:sz w:val="28"/>
        </w:rPr>
        <w:t>3.4商务要求</w:t>
      </w:r>
    </w:p>
    <w:p>
      <w:pPr>
        <w:pStyle w:val="null3"/>
        <w:ind w:firstLine="480"/>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自合同签订之日起730日</w:t>
      </w:r>
    </w:p>
    <w:p>
      <w:pPr>
        <w:pStyle w:val="null3"/>
        <w:ind w:firstLine="480"/>
        <w:outlineLvl w:val="3"/>
      </w:pPr>
      <w:r>
        <w:rPr>
          <w:b/>
          <w:sz w:val="24"/>
        </w:rPr>
        <w:t>3.4.2交货地点</w:t>
      </w:r>
    </w:p>
    <w:p>
      <w:pPr>
        <w:pStyle w:val="null3"/>
      </w:pPr>
    </w:p>
    <w:p>
      <w:pPr>
        <w:pStyle w:val="null3"/>
      </w:pPr>
    </w:p>
    <w:p>
      <w:pPr>
        <w:pStyle w:val="null3"/>
      </w:pPr>
    </w:p>
    <w:p>
      <w:pPr>
        <w:pStyle w:val="null3"/>
      </w:pPr>
      <w:r>
        <w:rPr/>
        <w:t>采购包1：</w:t>
      </w:r>
    </w:p>
    <w:p>
      <w:pPr>
        <w:pStyle w:val="null3"/>
      </w:pPr>
      <w:r>
        <w:rPr/>
        <w:t>自贡市第一人民医院指定地点</w:t>
      </w:r>
    </w:p>
    <w:p>
      <w:pPr>
        <w:pStyle w:val="null3"/>
        <w:ind w:firstLine="480"/>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ind w:firstLine="480"/>
        <w:outlineLvl w:val="3"/>
      </w:pPr>
      <w:r>
        <w:rPr>
          <w:b/>
          <w:sz w:val="24"/>
        </w:rPr>
        <w:t>3.4.4支付约定</w:t>
      </w:r>
    </w:p>
    <w:p>
      <w:pPr>
        <w:pStyle w:val="null3"/>
      </w:pPr>
    </w:p>
    <w:p>
      <w:pPr>
        <w:pStyle w:val="null3"/>
      </w:pPr>
    </w:p>
    <w:p>
      <w:pPr>
        <w:pStyle w:val="null3"/>
      </w:pPr>
    </w:p>
    <w:p>
      <w:pPr>
        <w:pStyle w:val="null3"/>
      </w:pPr>
      <w:r>
        <w:rPr/>
        <w:t>采购包1：</w:t>
      </w:r>
      <w:r>
        <w:rPr/>
        <w:t>付款条件说明：</w:t>
      </w:r>
      <w:r>
        <w:rPr/>
        <w:t>签订合同后（预付款在每月结算时直接抵扣货款，全部抵扣后采购人再开始按月向供应商结算货款，如预付款未抵扣完解除合同的，供应商应退还剩余预付款并按同期LPR上浮50%向采购人支付资金占用损失）</w:t>
      </w:r>
      <w:r>
        <w:rPr/>
        <w:t>，达到付款条件起</w:t>
      </w:r>
      <w:r>
        <w:rPr/>
        <w:t>14</w:t>
      </w:r>
      <w:r>
        <w:rPr/>
        <w:t>日，支付合同总金额的</w:t>
      </w:r>
      <w:r>
        <w:rPr/>
        <w:t>30.00</w:t>
      </w:r>
      <w:r>
        <w:rPr/>
        <w:t>%。</w:t>
      </w:r>
    </w:p>
    <w:p>
      <w:pPr>
        <w:pStyle w:val="null3"/>
      </w:pPr>
      <w:r>
        <w:rPr/>
        <w:t>采购包1：</w:t>
      </w:r>
      <w:r>
        <w:rPr/>
        <w:t>付款条件说明：</w:t>
      </w:r>
      <w:r>
        <w:rPr/>
        <w:t>之后每月按实结算（本月结算上月货款），由采购人根据上月实际供应量的金额（以采购人确认的单据为准）确定付款金额，采购人自收到发票之日起14个自然日内付清当次货款</w:t>
      </w:r>
      <w:r>
        <w:rPr/>
        <w:t>，达到付款条件起</w:t>
      </w:r>
      <w:r>
        <w:rPr/>
        <w:t>14</w:t>
      </w:r>
      <w:r>
        <w:rPr/>
        <w:t>日，支付合同总金额的</w:t>
      </w:r>
      <w:r>
        <w:rPr/>
        <w:t>70.00</w:t>
      </w:r>
      <w:r>
        <w:rPr/>
        <w:t>%。</w:t>
      </w:r>
    </w:p>
    <w:p>
      <w:pPr>
        <w:pStyle w:val="null3"/>
        <w:ind w:firstLine="480"/>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中标人与采购人应按照政府采购相关法律法规以及《财政部关于进一步加强政府采购需求和履约验收管理的指导意见》（财库[2016]205号）的规定，严格按照国家有关部门批准的技术标准、甲乙双方签订的合同，共同现场验收。属于法定商检的，需提供《入境货物检验检疫证明》等。</w:t>
      </w:r>
    </w:p>
    <w:p>
      <w:pPr>
        <w:pStyle w:val="null3"/>
        <w:ind w:firstLine="480"/>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采购人收到产品有效期须≧10个月，临近有效期的货物需更换质保期更长的产品。</w:t>
      </w:r>
    </w:p>
    <w:p>
      <w:pPr>
        <w:pStyle w:val="null3"/>
        <w:ind w:firstLine="480"/>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双方根据本合同原则，友好协商解决；协商无效的，可向自贡仲裁委员会申请仲裁。</w:t>
      </w:r>
    </w:p>
    <w:p>
      <w:pPr>
        <w:pStyle w:val="null3"/>
        <w:ind w:firstLine="480"/>
        <w:jc w:val="left"/>
        <w:outlineLvl w:val="2"/>
      </w:pPr>
      <w:r>
        <w:rPr>
          <w:b/>
          <w:sz w:val="28"/>
        </w:rPr>
        <w:t>3.5其他要求</w:t>
      </w:r>
    </w:p>
    <w:p>
      <w:pPr>
        <w:pStyle w:val="null3"/>
      </w:pPr>
    </w:p>
    <w:p>
      <w:pPr>
        <w:pStyle w:val="null3"/>
      </w:pPr>
    </w:p>
    <w:p>
      <w:pPr>
        <w:pStyle w:val="null3"/>
      </w:pPr>
      <w:r>
        <w:rPr/>
        <w:t>★1、交货时间：自采购人提出送货之日起24小时内送达。本项目非一次性送货，采购人在提出采购需求后分批次供应，投标人24小时内送货到指定地点，紧急情况4小时内送货到指定地点，如遇其他特殊情况双方协商时间。（交货时间以此为准）★2、报价要求：本项目采用报下浮率方式进行报价，所有商品报价必须保持下浮率一致(即同比例下浮）。含气体运输、保险、装卸、售后服务、各项税金等相关综合费用，采购人不承担额外的费用，投标人应商在报价中应自行考虑。最终单价的计算方式为：最终单价（元/人）=单价限价×（1-下浮率）；最终单价保留两位小数，即小数点后第三位开始的数字全部省略。★3、资料要求：需提供国家认可的检验检测部门或机构出具的检验报告。★4、配送的产品名称、规格、包装、组成成分等须与响应产品内容信息完全一致。 ★5、中标人须提供 7*24 小时技术援助电话，解答用户在使用中遇到的问题，及时提出解决问题的建议和操作方法。★6、如中标人发生供货不及时、货物缺少等情况，发生一次扣当月货款的50%，发生两次扣当月全部货款，发生三次则采购人有权无条件解除合同。★7、投标人承担气瓶配送、安装、验收等过程中的一切安全责任。★8、其他要求： 8.1气体、气瓶的生产、销售、充装必须满足国家现行强制标准和相关法律法规的要求。 8.2在供应合同履行期间，由投标人负责每年为医院办理气瓶的质检手续。 8.3投标人提供安全的、有合格证明的气瓶，负责托管院方目前使用的气瓶并保证安全； 8.4投标人负责合同时间内院方气瓶试压检测服务、气瓶及附件的维修维护服务；因相关设备出现故障维修产生的费用由中标人负责。 8.5提供每季度至少来医院进行一次安全巡查及隐患排查并出具安全巡查报告。 8.6投标人负责承担配送运输费，运输时需提供运输服务上岗人员的《道路危险货物运输驾驶员资格证》和《道路危险货物运输押运人员资格证》（提供承诺函并加盖鲜章，成交后将以上证书提交给采购人）。9、无论是否成交，投标人均应自行承担在采购活动中产生的一切费用。10、包装标准：投标人必须提供未经使用的全新产品，采用厂家原装包装。★11、付款方式：签订合同后，采购人自合同签订之日起14个自然日内支付合同总金额的30%作为预付款（预付款在每月结算时直接抵扣货款，全部抵扣后甲方再开始按月向乙方结算货款，如预付款未抵扣完解除合同的，乙方应退还剩余预付款并按同期LPR上浮50%向甲方支付资金占用损失），之后每月按实结算（本月结算上月货款），由采购人根据上月实际供应量的金额（以采购人确认的单据为准）确定付款金额，采购人自收到发票之日起14个自然日内付清当次货款（付款方式以此为准）。</w:t>
      </w:r>
    </w:p>
    <w:p>
      <w:pPr>
        <w:pStyle w:val="null3"/>
      </w:pPr>
    </w:p>
    <w:p>
      <w:pPr>
        <w:pStyle w:val="null3"/>
        <w:ind w:firstLine="480"/>
      </w:pPr>
      <w:r>
        <w:rPr/>
        <w:t xml:space="preserve"> </w:t>
      </w:r>
    </w:p>
    <w:p>
      <w:pPr>
        <w:pStyle w:val="null3"/>
        <w:ind w:firstLine="480"/>
        <w:jc w:val="center"/>
        <w:outlineLvl w:val="1"/>
      </w:pPr>
      <w:r>
        <w:rPr>
          <w:b/>
          <w:sz w:val="36"/>
        </w:rPr>
        <w:t>第四章 资格审查</w:t>
      </w:r>
    </w:p>
    <w:p>
      <w:pPr>
        <w:pStyle w:val="null3"/>
      </w:pPr>
    </w:p>
    <w:p>
      <w:pPr>
        <w:pStyle w:val="null3"/>
      </w:pPr>
    </w:p>
    <w:p>
      <w:pPr>
        <w:pStyle w:val="null3"/>
        <w:ind w:firstLine="480"/>
      </w:pPr>
      <w:r>
        <w:rPr/>
        <w:t>资格审查由</w:t>
      </w:r>
      <w:r>
        <w:rPr/>
        <w:t>自贡市第一人民医院或安迅达工程咨询有限公司</w:t>
      </w:r>
      <w:r>
        <w:rPr/>
        <w:t>组建的资格审查小组依据法律法规和招标文件的规定，对投标文件中的资格证明等进行审查，以确定投标人是否具备投标资格，并出具资格审查报告。</w:t>
      </w:r>
    </w:p>
    <w:p>
      <w:pPr>
        <w:pStyle w:val="null3"/>
        <w:ind w:firstLine="480"/>
        <w:outlineLvl w:val="2"/>
      </w:pPr>
      <w:r>
        <w:rPr>
          <w:b/>
          <w:sz w:val="28"/>
        </w:rPr>
        <w:t>4.1一般资格审查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1、供应商需在项目电子化交易系统中按要求填写《投标（响应）函》完成承诺并进行电子签章。2、 ①供应商若为企业法人：提供“统一社会信用代码营业执照”；②若为事业法人：提供“统一社会信用代码法人登记证书”；③若为其他组织：提供“对应主管部门颁发的准许执业证明文件或营业执照”；④供应商若为自然人：提供“身份证明材料”。</w:t>
            </w:r>
          </w:p>
        </w:tc>
        <w:tc>
          <w:tcPr>
            <w:tcW w:type="dxa" w:w="1661"/>
          </w:tcPr>
          <w:p>
            <w:pPr>
              <w:pStyle w:val="null3"/>
            </w:pPr>
            <w:r>
              <w:rPr/>
              <w:t>投标（响应）函 投标人应提交的相关资格证明材料</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1、供应商需在项目电子化交易系统中按要求上传相应证明文件并进行电子签章。 （提供承诺函原件（格式自拟）或以下任意一种：①可提供2020-2022年度（任意一年度）供应商经审计的完整有效的财务报告复印件；②也可提供2020-2022年度（任意一年度）供应商内部的财务报表复印件（至少应包含资产负债表、现金流量表、利润表）；③也可提供距文件递交截止日一年内银行出具的资信证明（复印件）；④供应商注册时间至文件递交截止日不足一年的，也可提供在市场监督管理部门备案的公司章程（复印件）；⑤非营利性单位或者社会团体或者其他机关事业单位以符合财务会计制度为准。⑥供应商为自然人的提供承诺函（格式自拟）。））</w:t>
            </w:r>
          </w:p>
        </w:tc>
        <w:tc>
          <w:tcPr>
            <w:tcW w:type="dxa" w:w="1661"/>
          </w:tcPr>
          <w:p>
            <w:pPr>
              <w:pStyle w:val="null3"/>
            </w:pPr>
            <w:r>
              <w:rPr/>
              <w:t>投标（响应）函 投标人应提交的相关资格证明材料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ind w:firstLine="480"/>
        <w:outlineLvl w:val="2"/>
      </w:pPr>
      <w:r>
        <w:rPr>
          <w:b/>
          <w:sz w:val="28"/>
        </w:rPr>
        <w:t>4.2特殊资格审查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投标人具有有效的《危险品道路运输经营许可证》，也可以提供第三方合作单位相应的运输资质以及有效的合同。</w:t>
            </w:r>
          </w:p>
        </w:tc>
        <w:tc>
          <w:tcPr>
            <w:tcW w:type="dxa" w:w="3322"/>
          </w:tcPr>
          <w:p>
            <w:pPr>
              <w:pStyle w:val="null3"/>
            </w:pPr>
            <w:r>
              <w:rPr/>
              <w:t>投标人具有有效的《危险品道路运输经营许可证》，也可以提供第三方合作单位相应的运输资质以及有效的合同。（提供相关证明材料复印件加盖投标人鲜章）</w:t>
            </w:r>
          </w:p>
        </w:tc>
        <w:tc>
          <w:tcPr>
            <w:tcW w:type="dxa" w:w="1661"/>
          </w:tcPr>
          <w:p>
            <w:pPr>
              <w:pStyle w:val="null3"/>
            </w:pPr>
            <w:r>
              <w:rPr/>
              <w:t>投标文件封面 投标（响应）函 投标人应提交的相关资格证明材料</w:t>
            </w:r>
          </w:p>
        </w:tc>
      </w:tr>
      <w:tr>
        <w:tc>
          <w:tcPr>
            <w:tcW w:type="dxa" w:w="831"/>
          </w:tcPr>
          <w:p>
            <w:pPr>
              <w:pStyle w:val="null3"/>
            </w:pPr>
            <w:r>
              <w:rPr/>
              <w:t>2</w:t>
            </w:r>
          </w:p>
        </w:tc>
        <w:tc>
          <w:tcPr>
            <w:tcW w:type="dxa" w:w="2492"/>
          </w:tcPr>
          <w:p>
            <w:pPr>
              <w:pStyle w:val="null3"/>
            </w:pPr>
            <w:r>
              <w:rPr/>
              <w:t>投标人具有有效的医用气体《药品生产许可证》；</w:t>
            </w:r>
          </w:p>
        </w:tc>
        <w:tc>
          <w:tcPr>
            <w:tcW w:type="dxa" w:w="3322"/>
          </w:tcPr>
          <w:p>
            <w:pPr>
              <w:pStyle w:val="null3"/>
            </w:pPr>
            <w:r>
              <w:rPr/>
              <w:t>投标人具有有效的医用气体《药品生产许可证》；（提供相关证书复印件加盖投标人鲜章)</w:t>
            </w:r>
          </w:p>
        </w:tc>
        <w:tc>
          <w:tcPr>
            <w:tcW w:type="dxa" w:w="1661"/>
          </w:tcPr>
          <w:p>
            <w:pPr>
              <w:pStyle w:val="null3"/>
            </w:pPr>
            <w:r>
              <w:rPr/>
              <w:t>投标（响应）函 投标人应提交的相关资格证明材料</w:t>
            </w:r>
          </w:p>
        </w:tc>
      </w:tr>
      <w:tr>
        <w:tc>
          <w:tcPr>
            <w:tcW w:type="dxa" w:w="831"/>
          </w:tcPr>
          <w:p>
            <w:pPr>
              <w:pStyle w:val="null3"/>
            </w:pPr>
            <w:r>
              <w:rPr/>
              <w:t>3</w:t>
            </w:r>
          </w:p>
        </w:tc>
        <w:tc>
          <w:tcPr>
            <w:tcW w:type="dxa" w:w="2492"/>
          </w:tcPr>
          <w:p>
            <w:pPr>
              <w:pStyle w:val="null3"/>
            </w:pPr>
            <w:r>
              <w:rPr/>
              <w:t>投标人提供有效的《气瓶充装许可证》；</w:t>
            </w:r>
          </w:p>
        </w:tc>
        <w:tc>
          <w:tcPr>
            <w:tcW w:type="dxa" w:w="3322"/>
          </w:tcPr>
          <w:p>
            <w:pPr>
              <w:pStyle w:val="null3"/>
            </w:pPr>
            <w:r>
              <w:rPr/>
              <w:t>投标人提供有效的《气瓶充装许可证》；(提供有效的相关证书复印件加盖投标人鲜章)</w:t>
            </w:r>
          </w:p>
        </w:tc>
        <w:tc>
          <w:tcPr>
            <w:tcW w:type="dxa" w:w="1661"/>
          </w:tcPr>
          <w:p>
            <w:pPr>
              <w:pStyle w:val="null3"/>
            </w:pPr>
            <w:r>
              <w:rPr/>
              <w:t>投标（响应）函 投标人应提交的相关资格证明材料</w:t>
            </w:r>
          </w:p>
        </w:tc>
      </w:tr>
      <w:tr>
        <w:tc>
          <w:tcPr>
            <w:tcW w:type="dxa" w:w="831"/>
          </w:tcPr>
          <w:p>
            <w:pPr>
              <w:pStyle w:val="null3"/>
            </w:pPr>
            <w:r>
              <w:rPr/>
              <w:t>4</w:t>
            </w:r>
          </w:p>
        </w:tc>
        <w:tc>
          <w:tcPr>
            <w:tcW w:type="dxa" w:w="2492"/>
          </w:tcPr>
          <w:p>
            <w:pPr>
              <w:pStyle w:val="null3"/>
            </w:pPr>
            <w:r>
              <w:rPr/>
              <w:t>如为代理商需提供有效的《危险化学品经营许可证》。</w:t>
            </w:r>
          </w:p>
        </w:tc>
        <w:tc>
          <w:tcPr>
            <w:tcW w:type="dxa" w:w="3322"/>
          </w:tcPr>
          <w:p>
            <w:pPr>
              <w:pStyle w:val="null3"/>
            </w:pPr>
            <w:r>
              <w:rPr/>
              <w:t>如为代理商需提供有效的《危险化学品经营许可证》。(如为代理商需提供有效的相关证书复印件加盖投标人鲜章)</w:t>
            </w:r>
          </w:p>
        </w:tc>
        <w:tc>
          <w:tcPr>
            <w:tcW w:type="dxa" w:w="1661"/>
          </w:tcPr>
          <w:p>
            <w:pPr>
              <w:pStyle w:val="null3"/>
            </w:pPr>
            <w:r>
              <w:rPr/>
              <w:t>投标（响应）函 投标人应提交的相关资格证明材料</w:t>
            </w:r>
          </w:p>
        </w:tc>
      </w:tr>
    </w:tbl>
    <w:p>
      <w:pPr>
        <w:pStyle w:val="null3"/>
        <w:ind w:firstLine="480"/>
        <w:outlineLvl w:val="2"/>
      </w:pPr>
      <w:r>
        <w:rPr>
          <w:b/>
          <w:sz w:val="28"/>
        </w:rPr>
        <w:t>4.3落实政府采购政策资格审查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pPr>
    </w:p>
    <w:p>
      <w:pPr>
        <w:pStyle w:val="null3"/>
        <w:ind w:firstLine="480"/>
      </w:pPr>
      <w:r>
        <w:rPr/>
        <w:t xml:space="preserve"> </w:t>
      </w:r>
    </w:p>
    <w:p>
      <w:pPr>
        <w:pStyle w:val="null3"/>
        <w:ind w:firstLine="480"/>
        <w:jc w:val="center"/>
        <w:outlineLvl w:val="1"/>
      </w:pPr>
      <w:r>
        <w:rPr>
          <w:b/>
          <w:sz w:val="36"/>
        </w:rPr>
        <w:t>第五章 评标办法</w:t>
      </w:r>
    </w:p>
    <w:p>
      <w:pPr>
        <w:pStyle w:val="null3"/>
        <w:ind w:firstLine="480"/>
        <w:outlineLvl w:val="2"/>
      </w:pPr>
      <w:r>
        <w:rPr>
          <w:b/>
          <w:sz w:val="28"/>
        </w:rPr>
        <w:t>5.1总则</w:t>
      </w:r>
    </w:p>
    <w:p>
      <w:pPr>
        <w:pStyle w:val="null3"/>
        <w:ind w:firstLine="480"/>
      </w:pPr>
      <w:r>
        <w:rPr/>
        <w:t>一、根据《中华人民共和国政府采购法》《中华人民共和国政府采购法实施条例》《政府采购货物和服务招标投标管理办法》《四川省政府采购评审工作规程（修订）》等法律规章，结合采购项目特点制定本评标办法。</w:t>
      </w:r>
    </w:p>
    <w:p>
      <w:pPr>
        <w:pStyle w:val="null3"/>
        <w:ind w:firstLine="480"/>
      </w:pPr>
      <w:r>
        <w:rPr/>
        <w:t>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ind w:firstLine="480"/>
        <w:outlineLvl w:val="2"/>
      </w:pPr>
      <w:r>
        <w:rPr>
          <w:b/>
          <w:sz w:val="28"/>
        </w:rPr>
        <w:t>5.2评标委员会</w:t>
      </w:r>
    </w:p>
    <w:p>
      <w:pPr>
        <w:pStyle w:val="null3"/>
        <w:ind w:firstLine="480"/>
      </w:pPr>
      <w:r>
        <w:rPr/>
        <w:t>一、         本项目评标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outlineLvl w:val="2"/>
      </w:pPr>
      <w:r>
        <w:rPr>
          <w:b/>
          <w:sz w:val="28"/>
        </w:rPr>
        <w:t>5.3 评标方法</w:t>
      </w:r>
    </w:p>
    <w:p>
      <w:pPr>
        <w:pStyle w:val="null3"/>
      </w:pPr>
    </w:p>
    <w:p>
      <w:pPr>
        <w:pStyle w:val="null3"/>
      </w:pPr>
    </w:p>
    <w:p>
      <w:pPr>
        <w:pStyle w:val="null3"/>
      </w:pPr>
      <w:r>
        <w:rPr/>
        <w:t>采购包1：最低评标价法</w:t>
      </w:r>
    </w:p>
    <w:p>
      <w:pPr>
        <w:pStyle w:val="null3"/>
        <w:ind w:firstLine="480"/>
        <w:outlineLvl w:val="2"/>
      </w:pPr>
      <w:r>
        <w:rPr>
          <w:b/>
          <w:sz w:val="28"/>
        </w:rPr>
        <w:t>5.4评标程序</w:t>
      </w:r>
    </w:p>
    <w:p>
      <w:pPr>
        <w:pStyle w:val="null3"/>
        <w:ind w:firstLine="480"/>
        <w:outlineLvl w:val="3"/>
      </w:pPr>
      <w:r>
        <w:rPr>
          <w:b/>
          <w:sz w:val="24"/>
        </w:rPr>
        <w:t>5.4.1熟悉和理解招标文件和停止评标</w:t>
      </w:r>
    </w:p>
    <w:p>
      <w:pPr>
        <w:pStyle w:val="null3"/>
        <w:ind w:firstLine="480"/>
      </w:pPr>
      <w:r>
        <w:rPr/>
        <w:t>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出现上述应当停止评标情形的，采购组织单位应当通过项目电子化交易系统书面告知参加采购活动的供应商，并说明具体原因，同时在四川政府采购网公告。采购组织单位认为评标委员会不应当停止评标的，可以书面报告采购项目同级财政部门依法处理，并提供相关证明材料。</w:t>
      </w:r>
    </w:p>
    <w:p>
      <w:pPr>
        <w:pStyle w:val="null3"/>
        <w:ind w:firstLine="480"/>
        <w:outlineLvl w:val="3"/>
      </w:pPr>
      <w:r>
        <w:rPr>
          <w:b/>
          <w:sz w:val="24"/>
        </w:rPr>
        <w:t>5.4.2符合性审查</w:t>
      </w:r>
    </w:p>
    <w:p>
      <w:pPr>
        <w:pStyle w:val="null3"/>
        <w:ind w:firstLine="480"/>
      </w:pPr>
      <w:r>
        <w:rPr/>
        <w:t>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符合审查要求概况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投标人按照要求提供投标文件，并满足本招标文件的实质性要求，并按要求提供相关的证明材料。</w:t>
            </w:r>
          </w:p>
        </w:tc>
        <w:tc>
          <w:tcPr>
            <w:tcW w:type="dxa" w:w="1661"/>
          </w:tcPr>
          <w:p>
            <w:pPr>
              <w:pStyle w:val="null3"/>
            </w:pPr>
            <w:r>
              <w:rPr/>
              <w:t>产品技术参数响应表 商务应答表</w:t>
            </w:r>
          </w:p>
        </w:tc>
      </w:tr>
    </w:tbl>
    <w:p>
      <w:pPr>
        <w:pStyle w:val="null3"/>
        <w:ind w:firstLine="480"/>
      </w:pPr>
      <w:r>
        <w:rPr/>
        <w:t>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ind w:firstLine="480"/>
        <w:outlineLvl w:val="3"/>
      </w:pPr>
      <w:r>
        <w:rPr>
          <w:b/>
          <w:sz w:val="24"/>
        </w:rPr>
        <w:t>5.4.3解释、澄清有关问题</w:t>
      </w:r>
    </w:p>
    <w:p>
      <w:pPr>
        <w:pStyle w:val="null3"/>
        <w:ind w:firstLine="480"/>
      </w:pPr>
      <w:r>
        <w:rPr/>
        <w:t>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ind w:firstLine="480"/>
        <w:outlineLvl w:val="3"/>
      </w:pPr>
      <w:r>
        <w:rPr>
          <w:b/>
          <w:sz w:val="24"/>
        </w:rPr>
        <w:t>5.4.4比较与评价</w:t>
      </w:r>
    </w:p>
    <w:p>
      <w:pPr>
        <w:pStyle w:val="null3"/>
        <w:ind w:firstLine="480"/>
      </w:pPr>
      <w:r>
        <w:rPr/>
        <w:t>评标委员会应当按照招标文件规定的评标细则及标准，对符合性检查合格的投标文件进行商务和技术评估，综合比较和评价。</w:t>
      </w:r>
    </w:p>
    <w:p>
      <w:pPr>
        <w:pStyle w:val="null3"/>
        <w:ind w:firstLine="480"/>
        <w:outlineLvl w:val="3"/>
      </w:pPr>
      <w:r>
        <w:rPr>
          <w:b/>
          <w:sz w:val="24"/>
        </w:rPr>
        <w:t>5.4.5复核</w:t>
      </w:r>
    </w:p>
    <w:p>
      <w:pPr>
        <w:pStyle w:val="null3"/>
        <w:ind w:firstLine="480"/>
      </w:pPr>
      <w:r>
        <w:rPr/>
        <w:t>评分汇总结束后，评标委员会应当进行复核，对拟推荐为中标候选供应商、报价最低、投标文件被认定为无效等进行重点复核。</w:t>
      </w:r>
    </w:p>
    <w:p>
      <w:pPr>
        <w:pStyle w:val="null3"/>
        <w:ind w:firstLine="480"/>
      </w:pPr>
      <w:r>
        <w:rPr/>
        <w:t>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ind w:firstLine="480"/>
        <w:outlineLvl w:val="3"/>
      </w:pPr>
      <w:r>
        <w:rPr>
          <w:b/>
          <w:sz w:val="24"/>
        </w:rPr>
        <w:t>5.4.6确定中标候选人名单</w:t>
      </w:r>
    </w:p>
    <w:p>
      <w:pPr>
        <w:pStyle w:val="null3"/>
      </w:pPr>
    </w:p>
    <w:p>
      <w:pPr>
        <w:pStyle w:val="null3"/>
      </w:pPr>
    </w:p>
    <w:p>
      <w:pPr>
        <w:pStyle w:val="null3"/>
      </w:pPr>
      <w:r>
        <w:rPr/>
        <w:t>采购包1：</w:t>
      </w:r>
      <w:r>
        <w:rPr/>
        <w:t>候选供应商数量3名。</w:t>
      </w:r>
    </w:p>
    <w:p>
      <w:pPr>
        <w:pStyle w:val="null3"/>
        <w:ind w:firstLine="480"/>
      </w:pPr>
      <w:r>
        <w:rPr/>
        <w:t>（综合评分法适用）按投标人综合得分从高到低顺序排列，确定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ind w:firstLine="480"/>
      </w:pPr>
      <w:r>
        <w:rPr/>
        <w:t>（最低评标价法适用）按投标人投标报价从低到高顺序排列，确定中标候选人。投标报价相同的，按投标人提供的优先采购产品认证证书数量由多到少顺序排列；投标报价且提供的优先采购产品认证证书数量相同的并列。投标文件满足招标文件全部实质性要求且投标报价最低的投标人为排名第一的中标候选人。</w:t>
      </w:r>
    </w:p>
    <w:p>
      <w:pPr>
        <w:pStyle w:val="null3"/>
        <w:ind w:firstLine="480"/>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ind w:firstLine="480"/>
        <w:outlineLvl w:val="2"/>
      </w:pPr>
      <w:r>
        <w:rPr>
          <w:b/>
          <w:sz w:val="28"/>
        </w:rPr>
        <w:t>5.5评标争议处理规则</w:t>
      </w:r>
    </w:p>
    <w:p>
      <w:pPr>
        <w:pStyle w:val="null3"/>
        <w:ind w:firstLine="480"/>
      </w:pPr>
      <w:r>
        <w:rPr/>
        <w:t>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ind w:firstLine="480"/>
        <w:outlineLvl w:val="2"/>
      </w:pPr>
      <w:r>
        <w:rPr>
          <w:b/>
          <w:sz w:val="28"/>
        </w:rPr>
        <w:t>5.6评标细则及标准</w:t>
      </w:r>
    </w:p>
    <w:p>
      <w:pPr>
        <w:pStyle w:val="null3"/>
        <w:ind w:firstLine="480"/>
      </w:pPr>
      <w:r>
        <w:rPr/>
        <w:t>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ind w:firstLine="480"/>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ind w:firstLine="480"/>
        <w:outlineLvl w:val="3"/>
      </w:pPr>
      <w:r>
        <w:rPr>
          <w:b/>
          <w:sz w:val="24"/>
        </w:rPr>
        <w:t>5.6.2评分标准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评审因素</w:t>
            </w:r>
          </w:p>
        </w:tc>
        <w:tc>
          <w:tcPr>
            <w:tcW w:type="dxa" w:w="5815"/>
            <w:gridSpan w:val="4"/>
          </w:tcPr>
          <w:p>
            <w:pPr>
              <w:pStyle w:val="null3"/>
              <w:jc w:val="center"/>
            </w:pPr>
            <w:r>
              <w:rPr/>
              <w:t>评审标准</w:t>
            </w:r>
          </w:p>
        </w:tc>
      </w:tr>
      <w:tr>
        <w:tc>
          <w:tcPr>
            <w:tcW w:type="dxa" w:w="2492"/>
            <w:gridSpan w:val="2"/>
          </w:tcPr>
          <w:p>
            <w:pPr>
              <w:pStyle w:val="null3"/>
              <w:jc w:val="center"/>
            </w:pPr>
            <w:r>
              <w:rPr/>
              <w:t>分值构成</w:t>
            </w:r>
          </w:p>
        </w:tc>
        <w:tc>
          <w:tcPr>
            <w:tcW w:type="dxa" w:w="5815"/>
            <w:gridSpan w:val="4"/>
          </w:tcPr>
          <w:p/>
        </w:tc>
      </w:tr>
      <w:tr>
        <w:tc>
          <w:tcPr>
            <w:tcW w:type="dxa" w:w="831"/>
          </w:tcPr>
          <w:p>
            <w:pPr>
              <w:pStyle w:val="null3"/>
              <w:jc w:val="center"/>
            </w:pPr>
            <w:r>
              <w:rPr/>
              <w:t>评审因素分类</w:t>
            </w:r>
          </w:p>
        </w:tc>
        <w:tc>
          <w:tcPr>
            <w:tcW w:type="dxa" w:w="1661"/>
          </w:tcPr>
          <w:p>
            <w:pPr>
              <w:pStyle w:val="null3"/>
              <w:jc w:val="center"/>
            </w:pPr>
            <w:r>
              <w:rPr/>
              <w:t>评审项</w:t>
            </w:r>
          </w:p>
        </w:tc>
        <w:tc>
          <w:tcPr>
            <w:tcW w:type="dxa" w:w="2492"/>
          </w:tcPr>
          <w:p>
            <w:pPr>
              <w:pStyle w:val="null3"/>
              <w:jc w:val="center"/>
            </w:pPr>
            <w:r>
              <w:rPr/>
              <w:t>详细描述</w:t>
            </w:r>
          </w:p>
        </w:tc>
        <w:tc>
          <w:tcPr>
            <w:tcW w:type="dxa" w:w="831"/>
          </w:tcPr>
          <w:p>
            <w:pPr>
              <w:pStyle w:val="null3"/>
              <w:jc w:val="center"/>
            </w:pPr>
            <w:r>
              <w:rPr/>
              <w:t>分值</w:t>
            </w:r>
          </w:p>
        </w:tc>
        <w:tc>
          <w:tcPr>
            <w:tcW w:type="dxa" w:w="831"/>
          </w:tcPr>
          <w:p>
            <w:pPr>
              <w:pStyle w:val="null3"/>
              <w:jc w:val="center"/>
            </w:pPr>
            <w:r>
              <w:rPr/>
              <w:t>客观/主观</w:t>
            </w:r>
          </w:p>
        </w:tc>
        <w:tc>
          <w:tcPr>
            <w:tcW w:type="dxa" w:w="1661"/>
          </w:tcPr>
          <w:p>
            <w:pPr>
              <w:pStyle w:val="null3"/>
              <w:jc w:val="center"/>
            </w:pPr>
            <w:r>
              <w:rPr/>
              <w:t>关联格式</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序号</w:t>
            </w:r>
          </w:p>
        </w:tc>
        <w:tc>
          <w:tcPr>
            <w:tcW w:type="dxa" w:w="1661"/>
          </w:tcPr>
          <w:p>
            <w:pPr>
              <w:pStyle w:val="null3"/>
            </w:pPr>
            <w:r>
              <w:rPr/>
              <w:t>情形</w:t>
            </w:r>
          </w:p>
        </w:tc>
        <w:tc>
          <w:tcPr>
            <w:tcW w:type="dxa" w:w="1661"/>
          </w:tcPr>
          <w:p>
            <w:pPr>
              <w:pStyle w:val="null3"/>
            </w:pPr>
            <w:r>
              <w:rPr/>
              <w:t>适用对象</w:t>
            </w:r>
          </w:p>
        </w:tc>
        <w:tc>
          <w:tcPr>
            <w:tcW w:type="dxa" w:w="831"/>
          </w:tcPr>
          <w:p>
            <w:pPr>
              <w:pStyle w:val="null3"/>
            </w:pPr>
            <w:r>
              <w:rPr/>
              <w:t>比例</w:t>
            </w:r>
          </w:p>
        </w:tc>
        <w:tc>
          <w:tcPr>
            <w:tcW w:type="dxa" w:w="1661"/>
          </w:tcPr>
          <w:p>
            <w:pPr>
              <w:pStyle w:val="null3"/>
            </w:pPr>
            <w:r>
              <w:rPr/>
              <w:t>说明</w:t>
            </w:r>
          </w:p>
        </w:tc>
        <w:tc>
          <w:tcPr>
            <w:tcW w:type="dxa" w:w="1661"/>
          </w:tcPr>
          <w:p>
            <w:pPr>
              <w:pStyle w:val="null3"/>
            </w:pPr>
            <w:r>
              <w:rPr/>
              <w:t>关联格式</w:t>
            </w:r>
          </w:p>
        </w:tc>
      </w:tr>
      <w:tr>
        <w:tc>
          <w:tcPr>
            <w:tcW w:type="dxa" w:w="8306"/>
            <w:gridSpan w:val="6"/>
          </w:tcPr>
          <w:p>
            <w:pPr>
              <w:pStyle w:val="null3"/>
            </w:pPr>
            <w:r>
              <w:rPr/>
              <w:t>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ind w:firstLine="480"/>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废标后，代理机构将在“四川政府采购网”上公告。对于评标过程中废标的采购项目，评标委员会应当对招标文件是否存在不合理条款进行论证，并出具书面论证意见。</w:t>
      </w:r>
    </w:p>
    <w:p>
      <w:pPr>
        <w:pStyle w:val="null3"/>
        <w:ind w:firstLine="480"/>
        <w:outlineLvl w:val="2"/>
      </w:pPr>
      <w:r>
        <w:rPr>
          <w:b/>
          <w:sz w:val="28"/>
        </w:rPr>
        <w:t>5.8定标</w:t>
      </w:r>
    </w:p>
    <w:p>
      <w:pPr>
        <w:pStyle w:val="null3"/>
        <w:ind w:firstLine="480"/>
        <w:outlineLvl w:val="3"/>
      </w:pPr>
      <w:r>
        <w:rPr>
          <w:b/>
          <w:sz w:val="24"/>
        </w:rPr>
        <w:t>5.8.1 定标原则</w:t>
      </w:r>
    </w:p>
    <w:p>
      <w:pPr>
        <w:pStyle w:val="null3"/>
      </w:pPr>
    </w:p>
    <w:p>
      <w:pPr>
        <w:pStyle w:val="null3"/>
      </w:pP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四、根据确定的中标供应商，代理机构在四川政府采购网上发布中标结果公告，通过项目电子化交易系统向中标供应商发出中标通知书。</w:t>
      </w:r>
    </w:p>
    <w:p>
      <w:pPr>
        <w:pStyle w:val="null3"/>
        <w:ind w:firstLine="480"/>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ind w:firstLine="480"/>
        <w:outlineLvl w:val="2"/>
      </w:pPr>
      <w:r>
        <w:rPr>
          <w:b/>
          <w:sz w:val="28"/>
        </w:rPr>
        <w:t>5.10评审专家在政府采购活动中应当遵守以下工作纪律</w:t>
      </w:r>
    </w:p>
    <w:p>
      <w:pPr>
        <w:pStyle w:val="null3"/>
        <w:ind w:firstLine="480"/>
      </w:pPr>
      <w:r>
        <w:rPr/>
        <w:t>（一）遵行《中华人民共和国政府采购法》第十二条和《中华人民共和国政府采购法实施条例》第九条及财政部关于回避的规定。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ind w:firstLine="480"/>
      </w:pPr>
      <w:r>
        <w:rPr/>
        <w:t xml:space="preserve"> </w:t>
      </w:r>
    </w:p>
    <w:p>
      <w:pPr>
        <w:pStyle w:val="null3"/>
        <w:ind w:firstLine="480"/>
        <w:jc w:val="center"/>
        <w:outlineLvl w:val="1"/>
      </w:pPr>
      <w:r>
        <w:rPr>
          <w:b/>
          <w:sz w:val="36"/>
        </w:rPr>
        <w:t>第六章 投标文件格式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详见附件：开标一览表</w:t>
      </w:r>
    </w:p>
    <w:p>
      <w:pPr>
        <w:pStyle w:val="null3"/>
        <w:ind w:firstLine="960"/>
      </w:pPr>
      <w:r>
        <w:rPr/>
        <w:t>详见附件：分项报价表</w:t>
      </w:r>
    </w:p>
    <w:p>
      <w:pPr>
        <w:pStyle w:val="null3"/>
      </w:pPr>
    </w:p>
    <w:p>
      <w:pPr>
        <w:pStyle w:val="null3"/>
        <w:ind w:firstLine="480"/>
      </w:pPr>
      <w:r>
        <w:rPr/>
        <w:t xml:space="preserve"> </w:t>
      </w:r>
    </w:p>
    <w:p>
      <w:pPr>
        <w:pStyle w:val="null3"/>
        <w:ind w:firstLine="480"/>
        <w:jc w:val="center"/>
        <w:outlineLvl w:val="1"/>
      </w:pPr>
      <w:r>
        <w:rPr>
          <w:b/>
          <w:sz w:val="36"/>
        </w:rPr>
        <w:t>第七章 拟签订合同文本</w:t>
      </w:r>
    </w:p>
    <w:p>
      <w:pPr>
        <w:pStyle w:val="null3"/>
      </w:pPr>
    </w:p>
    <w:p>
      <w:pPr>
        <w:pStyle w:val="null3"/>
      </w:pPr>
    </w:p>
    <w:p>
      <w:pPr>
        <w:pStyle w:val="null3"/>
      </w:pPr>
      <w:r>
        <w:rPr/>
        <w:t>详见附件：自贡市第一人民医院（政采）代理商采购医疗设备合同模板--医用气体.pdf</w:t>
      </w:r>
    </w:p>
    <w:p>
      <w:pPr>
        <w:pStyle w:val="null3"/>
      </w:pPr>
    </w:p>
    <w:p>
      <w:pPr>
        <w:pStyle w:val="null3"/>
        <w:ind w:firstLine="480"/>
      </w:pPr>
      <w:r>
        <w:rPr/>
        <w:t xml:space="preserve"> </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